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73297" w:rsidRDefault="00E73297">
      <w:pPr>
        <w:keepNext/>
        <w:pBdr>
          <w:top w:val="nil"/>
          <w:left w:val="nil"/>
          <w:bottom w:val="nil"/>
          <w:right w:val="nil"/>
          <w:between w:val="nil"/>
        </w:pBdr>
        <w:ind w:left="0"/>
        <w:jc w:val="left"/>
        <w:rPr>
          <w:b/>
          <w:color w:val="000000"/>
          <w:sz w:val="32"/>
          <w:szCs w:val="32"/>
        </w:rPr>
      </w:pPr>
    </w:p>
    <w:p w14:paraId="233156AB" w14:textId="77777777" w:rsidR="00E73297" w:rsidRDefault="00467BD1">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32E1BFAF"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bookmarkStart w:id="0" w:name="_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652B27AB"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E73297" w14:paraId="6D2BF2B4" w14:textId="77777777">
        <w:tc>
          <w:tcPr>
            <w:tcW w:w="3097" w:type="dxa"/>
          </w:tcPr>
          <w:p w14:paraId="53A53C55"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"BCDR Plan"</w:t>
            </w:r>
          </w:p>
        </w:tc>
        <w:tc>
          <w:tcPr>
            <w:tcW w:w="5075" w:type="dxa"/>
          </w:tcPr>
          <w:p w14:paraId="2CBCDC8E"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2.2 of this Schedule;</w:t>
            </w:r>
          </w:p>
        </w:tc>
      </w:tr>
      <w:tr w:rsidR="00E73297" w14:paraId="6B003F89" w14:textId="77777777">
        <w:tc>
          <w:tcPr>
            <w:tcW w:w="3097" w:type="dxa"/>
          </w:tcPr>
          <w:p w14:paraId="53B7EBA6"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"Business Continuity Plan"</w:t>
            </w:r>
          </w:p>
        </w:tc>
        <w:tc>
          <w:tcPr>
            <w:tcW w:w="5075" w:type="dxa"/>
          </w:tcPr>
          <w:p w14:paraId="0CFFFBA7"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2.3.2 of this Schedule;</w:t>
            </w:r>
          </w:p>
        </w:tc>
      </w:tr>
      <w:tr w:rsidR="00E73297" w14:paraId="2EDFB2DC" w14:textId="77777777">
        <w:tc>
          <w:tcPr>
            <w:tcW w:w="3097" w:type="dxa"/>
          </w:tcPr>
          <w:p w14:paraId="693149B5"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Deliverables"</w:t>
            </w:r>
          </w:p>
        </w:tc>
        <w:tc>
          <w:tcPr>
            <w:tcW w:w="5075" w:type="dxa"/>
          </w:tcPr>
          <w:p w14:paraId="7E713DD9" w14:textId="77777777" w:rsidR="00E73297" w:rsidRDefault="00467BD1">
            <w:pPr>
              <w:numPr>
                <w:ilvl w:val="0"/>
                <w:numId w:val="2"/>
              </w:numPr>
              <w:pBdr>
                <w:top w:val="nil"/>
                <w:left w:val="nil"/>
                <w:bottom w:val="nil"/>
                <w:right w:val="nil"/>
                <w:between w:val="nil"/>
              </w:pBdr>
              <w:tabs>
                <w:tab w:val="left" w:pos="-179"/>
              </w:tabs>
              <w:spacing w:after="120"/>
              <w:jc w:val="left"/>
              <w:rPr>
                <w:color w:val="000000"/>
              </w:rPr>
            </w:pPr>
            <w:r>
              <w:rPr>
                <w:color w:val="000000"/>
                <w:sz w:val="24"/>
                <w:szCs w:val="24"/>
              </w:rPr>
              <w:t>the Deliverables embodied in the processes and procedures for restoring the provision of Deliverables following the occurrence of a Disaster;</w:t>
            </w:r>
          </w:p>
        </w:tc>
      </w:tr>
      <w:tr w:rsidR="00E73297" w14:paraId="351EDEE3" w14:textId="77777777">
        <w:tc>
          <w:tcPr>
            <w:tcW w:w="3097" w:type="dxa"/>
          </w:tcPr>
          <w:p w14:paraId="1DB03FE2"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Plan"</w:t>
            </w:r>
          </w:p>
        </w:tc>
        <w:tc>
          <w:tcPr>
            <w:tcW w:w="5075" w:type="dxa"/>
          </w:tcPr>
          <w:p w14:paraId="70A6C586"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2.3.3 of this Schedule;</w:t>
            </w:r>
          </w:p>
        </w:tc>
      </w:tr>
      <w:tr w:rsidR="00E73297" w14:paraId="1F984CC6" w14:textId="77777777">
        <w:tc>
          <w:tcPr>
            <w:tcW w:w="3097" w:type="dxa"/>
          </w:tcPr>
          <w:p w14:paraId="43EED747"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System"</w:t>
            </w:r>
          </w:p>
        </w:tc>
        <w:tc>
          <w:tcPr>
            <w:tcW w:w="5075" w:type="dxa"/>
          </w:tcPr>
          <w:p w14:paraId="3FB40940"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the system embodied in the processes and procedures for restoring the provision of Deliverables following the occurrence of a Disaster;</w:t>
            </w:r>
          </w:p>
        </w:tc>
      </w:tr>
      <w:tr w:rsidR="00E73297" w14:paraId="15D0F6F2" w14:textId="77777777">
        <w:trPr>
          <w:trHeight w:val="560"/>
        </w:trPr>
        <w:tc>
          <w:tcPr>
            <w:tcW w:w="3097" w:type="dxa"/>
          </w:tcPr>
          <w:p w14:paraId="08487C5C"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"Related Supplier"</w:t>
            </w:r>
          </w:p>
        </w:tc>
        <w:tc>
          <w:tcPr>
            <w:tcW w:w="5075" w:type="dxa"/>
          </w:tcPr>
          <w:p w14:paraId="4D99D8AD"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any person who provides Deliverables to the Buyer which are related to the Deliverables from time to time;</w:t>
            </w:r>
          </w:p>
        </w:tc>
      </w:tr>
      <w:tr w:rsidR="00E73297" w14:paraId="3B6CDE83" w14:textId="77777777">
        <w:trPr>
          <w:trHeight w:val="560"/>
        </w:trPr>
        <w:tc>
          <w:tcPr>
            <w:tcW w:w="3097" w:type="dxa"/>
          </w:tcPr>
          <w:p w14:paraId="1F8F6732"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"Review Report"</w:t>
            </w:r>
          </w:p>
        </w:tc>
        <w:tc>
          <w:tcPr>
            <w:tcW w:w="5075" w:type="dxa"/>
          </w:tcPr>
          <w:p w14:paraId="50829FB8"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 and</w:t>
            </w:r>
          </w:p>
        </w:tc>
      </w:tr>
      <w:tr w:rsidR="00E73297" w14:paraId="238EC365" w14:textId="77777777">
        <w:tc>
          <w:tcPr>
            <w:tcW w:w="3097" w:type="dxa"/>
          </w:tcPr>
          <w:p w14:paraId="2778E4F8" w14:textId="77777777"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"Supplier's Proposals"</w:t>
            </w:r>
          </w:p>
        </w:tc>
        <w:tc>
          <w:tcPr>
            <w:tcW w:w="5075" w:type="dxa"/>
          </w:tcPr>
          <w:p w14:paraId="30788FD5" w14:textId="77777777"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w:t>
            </w:r>
          </w:p>
        </w:tc>
      </w:tr>
    </w:tbl>
    <w:p w14:paraId="63892EE4"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BCDR Plan</w:t>
      </w:r>
    </w:p>
    <w:p w14:paraId="16101D98"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1" w:name="_30j0zll" w:colFirst="0" w:colLast="0"/>
      <w:bookmarkEnd w:id="1"/>
      <w:r>
        <w:rPr>
          <w:color w:val="000000"/>
          <w:sz w:val="24"/>
          <w:szCs w:val="24"/>
        </w:rPr>
        <w:t>The Buyer and the Supplier recognise that, where specified in Schedule 4 (Framework Management), CCS shall have the right to enforce the Buyer's rights under this Schedule.</w:t>
      </w:r>
    </w:p>
    <w:p w14:paraId="62A3F472"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2" w:name="_1fob9te" w:colFirst="0" w:colLast="0"/>
      <w:bookmarkEnd w:id="2"/>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3EDAD16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ensure continuity of the business processes and operations supported by the Services following any failure or disruption of any element of the Deliverables; and</w:t>
      </w:r>
    </w:p>
    <w:p w14:paraId="37899E9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recovery of the Deliverables in the event of a Disaster </w:t>
      </w:r>
    </w:p>
    <w:p w14:paraId="1B87A612"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divided into three sections:</w:t>
      </w:r>
    </w:p>
    <w:p w14:paraId="1A30599A"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3" w:name="_3znysh7" w:colFirst="0" w:colLast="0"/>
      <w:bookmarkEnd w:id="3"/>
      <w:r>
        <w:rPr>
          <w:color w:val="000000"/>
          <w:sz w:val="24"/>
          <w:szCs w:val="24"/>
        </w:rPr>
        <w:t xml:space="preserve">Section 1 which shall set out general principles applicable to the BCDR Plan; </w:t>
      </w:r>
    </w:p>
    <w:p w14:paraId="323918D7"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4" w:name="_2et92p0" w:colFirst="0" w:colLast="0"/>
      <w:bookmarkEnd w:id="4"/>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08173CFB"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5" w:name="_tyjcwt" w:colFirst="0" w:colLast="0"/>
      <w:bookmarkEnd w:id="5"/>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14:paraId="404DA1EC"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6" w:name="_3dy6vkm" w:colFirst="0" w:colLast="0"/>
      <w:bookmarkEnd w:id="6"/>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60A72A1"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bookmarkStart w:id="7" w:name="_1t3h5sf" w:colFirst="0" w:colLast="0"/>
      <w:bookmarkEnd w:id="7"/>
      <w:r>
        <w:rPr>
          <w:rFonts w:ascii="Arial Bold" w:eastAsia="Arial Bold" w:hAnsi="Arial Bold" w:cs="Arial Bold"/>
          <w:b/>
          <w:color w:val="000000"/>
          <w:sz w:val="24"/>
          <w:szCs w:val="24"/>
        </w:rPr>
        <w:t>General Principles of the BCDR Plan (Section 1)</w:t>
      </w:r>
    </w:p>
    <w:p w14:paraId="61B6BFAF"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Section 1 of the BCDR Plan shall:</w:t>
      </w:r>
    </w:p>
    <w:p w14:paraId="5D87D830"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how the business continuity and disaster recovery elements of the BCDR Plan link to each other;</w:t>
      </w:r>
    </w:p>
    <w:p w14:paraId="337A399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5A0033C7"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an obligation upon the Supplier to liaise with the Buyer and any Related Suppliers with respect to business continuity and disaster recovery;</w:t>
      </w:r>
    </w:p>
    <w:p w14:paraId="0ECB5488"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CC3D7E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3341B7EB" w14:textId="77777777" w:rsidR="00E73297" w:rsidRDefault="00467BD1">
      <w:pPr>
        <w:keepNext/>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risk analysis, including:</w:t>
      </w:r>
    </w:p>
    <w:p w14:paraId="082D84B0" w14:textId="77777777"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failure or disruption scenarios and assessments of likely frequency of occurrence;</w:t>
      </w:r>
    </w:p>
    <w:p w14:paraId="386AAC81" w14:textId="77777777"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any single points of failure within the provision of Deliverables and processes for managing those risks;</w:t>
      </w:r>
    </w:p>
    <w:p w14:paraId="00DE0A54" w14:textId="77777777"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risks arising from the interaction of the provision of Deliverables with the goods and/or services provided by a Related Supplier; and</w:t>
      </w:r>
    </w:p>
    <w:p w14:paraId="46E10BE2" w14:textId="77777777"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 business impact analysis of different anticipated failures or disruptions;</w:t>
      </w:r>
    </w:p>
    <w:p w14:paraId="194D0B9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provide for documentation of processes, including business processes, and procedures;</w:t>
      </w:r>
    </w:p>
    <w:p w14:paraId="7028E4E7"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key contact details for the Supplier (and any Subcontractors) and for the Buyer;</w:t>
      </w:r>
    </w:p>
    <w:p w14:paraId="38F2E3E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procedures for reverting to "normal service";</w:t>
      </w:r>
    </w:p>
    <w:p w14:paraId="5AE46336"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method(s) of recovering or updating data collected (or which ought to have been collected) during a failure or disruption to minimise data loss;</w:t>
      </w:r>
    </w:p>
    <w:p w14:paraId="584D12F0"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responsibilities (if any) that the Buyer has agreed it will assume in the event of the invocation of the BCDR Plan; and</w:t>
      </w:r>
    </w:p>
    <w:p w14:paraId="0A9494AA"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05D3E01D"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designed so as to ensure that:</w:t>
      </w:r>
    </w:p>
    <w:p w14:paraId="0BB8570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Deliverables are provided in accordance with this Contract at all times during and after the invocation of the BCDR Plan;</w:t>
      </w:r>
    </w:p>
    <w:p w14:paraId="194412E1"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adverse impact of any Disaster is minimised as far as reasonably possible; </w:t>
      </w:r>
    </w:p>
    <w:p w14:paraId="40D2CB16"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complies with the relevant provisions of ISO/IEC 27002; ISO22301/ISO22313   and all other industry standards from time to time in force; and</w:t>
      </w:r>
    </w:p>
    <w:p w14:paraId="2CF8A101"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details a process for the management of disaster recovery testing.</w:t>
      </w:r>
    </w:p>
    <w:p w14:paraId="3E267B46"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2E5CE044"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4BE7B4ED"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Business Continuity (Section 2)</w:t>
      </w:r>
    </w:p>
    <w:p w14:paraId="25E5C5B1"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8" w:name="_4d34og8" w:colFirst="0" w:colLast="0"/>
      <w:bookmarkEnd w:id="8"/>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589B254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alternative processes, options and responsibilities that may be adopted in the event of a failure in or disruption to the provision of Deliverables; and</w:t>
      </w:r>
    </w:p>
    <w:p w14:paraId="489C2398"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steps to be taken by the Supplier upon resumption of the provision of Deliverables in order to address the effect of the failure or disruption.</w:t>
      </w:r>
    </w:p>
    <w:p w14:paraId="55226FEB"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Business Continuity Plan shall:</w:t>
      </w:r>
    </w:p>
    <w:p w14:paraId="416B5C5C"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address the various possible levels of failures of or disruptions to the provision of Deliverables;</w:t>
      </w:r>
    </w:p>
    <w:p w14:paraId="6E476611"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9" w:name="_2s8eyo1" w:colFirst="0" w:colLast="0"/>
      <w:bookmarkEnd w:id="9"/>
      <w:r>
        <w:rPr>
          <w:color w:val="000000"/>
          <w:sz w:val="24"/>
          <w:szCs w:val="24"/>
        </w:rPr>
        <w:t>set out the goods and/or services to be provided and the steps to be taken to remedy the different levels of failures of and disruption to the Deliverables;</w:t>
      </w:r>
    </w:p>
    <w:p w14:paraId="699D26EA"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858811C"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the circumstances in which the Business Continuity Plan is invoked.</w:t>
      </w:r>
    </w:p>
    <w:p w14:paraId="0FC5D503"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Disaster Recovery (Section 3)</w:t>
      </w:r>
    </w:p>
    <w:p w14:paraId="240A569E"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10" w:name="_17dp8vu" w:colFirst="0" w:colLast="0"/>
      <w:bookmarkEnd w:id="10"/>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191091C7"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Supplier's BCDR Plan shall include an approach to business continuity and disaster recovery that addresses the following:</w:t>
      </w:r>
    </w:p>
    <w:p w14:paraId="5C005965"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access to the Buyer Premises;</w:t>
      </w:r>
    </w:p>
    <w:p w14:paraId="2AA4A894"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utilities to the Buyer Premises;</w:t>
      </w:r>
    </w:p>
    <w:p w14:paraId="19E66380"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the Supplier's helpdesk or CAFM system;</w:t>
      </w:r>
    </w:p>
    <w:p w14:paraId="2EB03239"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 Subcontractor;</w:t>
      </w:r>
    </w:p>
    <w:p w14:paraId="79CF7854"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emergency notification and escalation process;</w:t>
      </w:r>
    </w:p>
    <w:p w14:paraId="2CDD7503"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contact lists;</w:t>
      </w:r>
    </w:p>
    <w:p w14:paraId="75A19664"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staff training and awareness;</w:t>
      </w:r>
    </w:p>
    <w:p w14:paraId="55D1BA9F"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BCDR Plan testing; </w:t>
      </w:r>
    </w:p>
    <w:p w14:paraId="0737E1A8"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post implementation review process; </w:t>
      </w:r>
    </w:p>
    <w:p w14:paraId="3675B8C4"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05188DE"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FDD6312"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access controls to any disaster recovery sites used by the Supplier in relation to its obligations pursuant to this Schedule; and</w:t>
      </w:r>
    </w:p>
    <w:p w14:paraId="3AC9B065"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testing and management arrangements.</w:t>
      </w:r>
    </w:p>
    <w:p w14:paraId="0DD260BD" w14:textId="77777777"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Review and changing the BCDR Plan</w:t>
      </w:r>
    </w:p>
    <w:p w14:paraId="0A4F37BC"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bookmarkStart w:id="11" w:name="_3rdcrjn" w:colFirst="0" w:colLast="0"/>
      <w:bookmarkEnd w:id="11"/>
      <w:r>
        <w:rPr>
          <w:color w:val="000000"/>
          <w:sz w:val="24"/>
          <w:szCs w:val="24"/>
        </w:rPr>
        <w:t>The Supplier shall review the BCDR Plan:</w:t>
      </w:r>
    </w:p>
    <w:p w14:paraId="7E20C029"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2" w:name="_26in1rg" w:colFirst="0" w:colLast="0"/>
      <w:bookmarkEnd w:id="12"/>
      <w:r>
        <w:rPr>
          <w:color w:val="000000"/>
          <w:sz w:val="24"/>
          <w:szCs w:val="24"/>
        </w:rPr>
        <w:t>on a regular basis and as a minimum once every six (6) Months;</w:t>
      </w:r>
    </w:p>
    <w:p w14:paraId="79356689"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3" w:name="_lnxbz9" w:colFirst="0" w:colLast="0"/>
      <w:bookmarkEnd w:id="13"/>
      <w:r>
        <w:rPr>
          <w:color w:val="000000"/>
          <w:sz w:val="24"/>
          <w:szCs w:val="24"/>
        </w:rPr>
        <w:t>within three (3) calendar Months of the BCDR Plan (or any part) having been invoked pursuant to Paragraph 7; and</w:t>
      </w:r>
    </w:p>
    <w:p w14:paraId="742A2FB3"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4" w:name="_35nkun2" w:colFirst="0" w:colLast="0"/>
      <w:bookmarkEnd w:id="14"/>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4DA660D1"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15" w:name="_1ksv4uv" w:colFirst="0" w:colLast="0"/>
      <w:bookmarkEnd w:id="15"/>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20CE6CA7"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16" w:name="_44sinio" w:colFirst="0" w:colLast="0"/>
      <w:bookmarkEnd w:id="16"/>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30475432"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17" w:name="_2jxsxqh" w:colFirst="0" w:colLast="0"/>
      <w:bookmarkEnd w:id="17"/>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44F58C7A"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B6FEA19" w14:textId="77777777" w:rsidR="00E73297" w:rsidRDefault="00467BD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sz w:val="24"/>
          <w:szCs w:val="24"/>
        </w:rPr>
      </w:pPr>
      <w:bookmarkStart w:id="18" w:name="_z337ya" w:colFirst="0" w:colLast="0"/>
      <w:bookmarkEnd w:id="18"/>
      <w:r>
        <w:rPr>
          <w:rFonts w:ascii="Arial Bold" w:eastAsia="Arial Bold" w:hAnsi="Arial Bold" w:cs="Arial Bold"/>
          <w:b/>
          <w:color w:val="000000"/>
          <w:sz w:val="24"/>
          <w:szCs w:val="24"/>
        </w:rPr>
        <w:t>Testing the BCDR Plan</w:t>
      </w:r>
    </w:p>
    <w:p w14:paraId="23F01FB9"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bookmarkStart w:id="19" w:name="_3j2qqm3" w:colFirst="0" w:colLast="0"/>
      <w:bookmarkEnd w:id="19"/>
      <w:r>
        <w:rPr>
          <w:color w:val="000000"/>
          <w:sz w:val="24"/>
          <w:szCs w:val="24"/>
        </w:rPr>
        <w:t xml:space="preserve">The Supplier shall test the BCDR Plan: </w:t>
      </w:r>
    </w:p>
    <w:p w14:paraId="7C2D87CE"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regularly and in any event not less than once in every Contract Year;</w:t>
      </w:r>
    </w:p>
    <w:p w14:paraId="5E817A4B"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in the event of any major reconfiguration of the Deliverables</w:t>
      </w:r>
    </w:p>
    <w:p w14:paraId="20038191"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at any time where the Buyer considers it necessary (acting in its sole discretion).  </w:t>
      </w:r>
    </w:p>
    <w:p w14:paraId="54D03977"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20" w:name="_1y810tw" w:colFirst="0" w:colLast="0"/>
      <w:bookmarkEnd w:id="20"/>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3A986276"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F3E6EE8"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4109586" w14:textId="77777777"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within twenty (20) Working Days of the conclusion of each test, provide to the Buyer a report setting out:</w:t>
      </w:r>
    </w:p>
    <w:p w14:paraId="31FBFDE1"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outcome of the test;</w:t>
      </w:r>
    </w:p>
    <w:p w14:paraId="08EA5F0D"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failures in the BCDR Plan (including the BCDR Plan's procedures) revealed by the test; and</w:t>
      </w:r>
    </w:p>
    <w:p w14:paraId="1D3D4C96" w14:textId="77777777"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Supplier's proposals for remedying any such failures.</w:t>
      </w:r>
    </w:p>
    <w:p w14:paraId="68CCB90C" w14:textId="77777777" w:rsidR="00E73297" w:rsidRDefault="00467BD1">
      <w:pPr>
        <w:numPr>
          <w:ilvl w:val="1"/>
          <w:numId w:val="1"/>
        </w:numPr>
        <w:pBdr>
          <w:top w:val="nil"/>
          <w:left w:val="nil"/>
          <w:bottom w:val="nil"/>
          <w:right w:val="nil"/>
          <w:between w:val="nil"/>
        </w:pBdr>
        <w:spacing w:before="120" w:after="120"/>
        <w:jc w:val="left"/>
        <w:rPr>
          <w:sz w:val="24"/>
          <w:szCs w:val="24"/>
        </w:rPr>
      </w:pPr>
      <w:bookmarkStart w:id="21" w:name="_4i7ojhp" w:colFirst="0" w:colLast="0"/>
      <w:bookmarkEnd w:id="21"/>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70273733" w14:textId="77777777" w:rsidR="00E73297" w:rsidRDefault="00467BD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22" w:name="_2xcytpi" w:colFirst="0" w:colLast="0"/>
      <w:bookmarkEnd w:id="22"/>
      <w:r>
        <w:rPr>
          <w:rFonts w:ascii="Arial Bold" w:eastAsia="Arial Bold" w:hAnsi="Arial Bold" w:cs="Arial Bold"/>
          <w:b/>
          <w:color w:val="000000"/>
          <w:sz w:val="24"/>
          <w:szCs w:val="24"/>
        </w:rPr>
        <w:t>Invoking the BCDR Plan</w:t>
      </w:r>
    </w:p>
    <w:p w14:paraId="59E879D9"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11A37450" w14:textId="77777777" w:rsidR="00E73297" w:rsidRDefault="00467BD1">
      <w:pPr>
        <w:keepNext/>
        <w:numPr>
          <w:ilvl w:val="0"/>
          <w:numId w:val="1"/>
        </w:numPr>
        <w:pBdr>
          <w:top w:val="nil"/>
          <w:left w:val="nil"/>
          <w:bottom w:val="nil"/>
          <w:right w:val="nil"/>
          <w:between w:val="nil"/>
        </w:pBdr>
        <w:tabs>
          <w:tab w:val="left" w:pos="0"/>
        </w:tabs>
        <w:spacing w:before="240"/>
        <w:ind w:left="504"/>
        <w:jc w:val="left"/>
        <w:rPr>
          <w:b/>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55905A92" w14:textId="77777777"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E7329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467BD1" w:rsidRDefault="00467BD1">
      <w:pPr>
        <w:spacing w:after="0"/>
      </w:pPr>
      <w:r>
        <w:separator/>
      </w:r>
    </w:p>
  </w:endnote>
  <w:endnote w:type="continuationSeparator" w:id="0">
    <w:p w14:paraId="6A05A809" w14:textId="77777777" w:rsidR="00467BD1" w:rsidRDefault="00467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09C6" w14:textId="4A5F0459" w:rsidR="00911401" w:rsidRDefault="00911401">
    <w:pPr>
      <w:pStyle w:val="Footer"/>
    </w:pPr>
    <w:r>
      <w:rPr>
        <w:noProof/>
      </w:rPr>
      <mc:AlternateContent>
        <mc:Choice Requires="wps">
          <w:drawing>
            <wp:anchor distT="0" distB="0" distL="0" distR="0" simplePos="0" relativeHeight="251659264" behindDoc="0" locked="0" layoutInCell="1" allowOverlap="1" wp14:anchorId="3A36A4EC" wp14:editId="7868DECD">
              <wp:simplePos x="635" y="635"/>
              <wp:positionH relativeFrom="column">
                <wp:align>center</wp:align>
              </wp:positionH>
              <wp:positionV relativeFrom="paragraph">
                <wp:posOffset>635</wp:posOffset>
              </wp:positionV>
              <wp:extent cx="443865" cy="443865"/>
              <wp:effectExtent l="0" t="0" r="11430"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BFF27D" w14:textId="20C67450"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36A4EC"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ABFF27D" w14:textId="20C67450"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01D" w14:textId="0DB1FA53" w:rsidR="00E73297" w:rsidRDefault="00911401">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60288" behindDoc="0" locked="0" layoutInCell="1" allowOverlap="1" wp14:anchorId="7FDCFDF1" wp14:editId="3D5EE9E0">
              <wp:simplePos x="635" y="635"/>
              <wp:positionH relativeFrom="column">
                <wp:align>center</wp:align>
              </wp:positionH>
              <wp:positionV relativeFrom="paragraph">
                <wp:posOffset>635</wp:posOffset>
              </wp:positionV>
              <wp:extent cx="443865" cy="443865"/>
              <wp:effectExtent l="0" t="0" r="11430"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30761F" w14:textId="553069FD"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DCFDF1"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30761F" w14:textId="553069FD"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v:textbox>
              <w10:wrap type="square"/>
            </v:shape>
          </w:pict>
        </mc:Fallback>
      </mc:AlternateContent>
    </w:r>
  </w:p>
  <w:p w14:paraId="0E8A5D7A" w14:textId="77777777" w:rsidR="00E73297" w:rsidRDefault="00467BD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RM6013 - Public Sector Vehicle Hire Solutions</w:t>
    </w:r>
  </w:p>
  <w:p w14:paraId="690F585D" w14:textId="77777777" w:rsidR="00E73297" w:rsidRDefault="00467BD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B676D">
      <w:rPr>
        <w:noProof/>
        <w:color w:val="000000"/>
        <w:sz w:val="20"/>
        <w:szCs w:val="20"/>
      </w:rPr>
      <w:t>1</w:t>
    </w:r>
    <w:r>
      <w:rPr>
        <w:color w:val="000000"/>
        <w:sz w:val="20"/>
        <w:szCs w:val="20"/>
      </w:rPr>
      <w:fldChar w:fldCharType="end"/>
    </w:r>
  </w:p>
  <w:p w14:paraId="63D4EADD" w14:textId="77777777" w:rsidR="00E73297" w:rsidRDefault="00467BD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617DEAFF" w:rsidR="00E73297" w:rsidRDefault="00911401">
    <w:pPr>
      <w:pBdr>
        <w:top w:val="nil"/>
        <w:left w:val="nil"/>
        <w:bottom w:val="nil"/>
        <w:right w:val="nil"/>
        <w:between w:val="nil"/>
      </w:pBdr>
      <w:tabs>
        <w:tab w:val="center" w:pos="4513"/>
        <w:tab w:val="right" w:pos="9026"/>
      </w:tabs>
      <w:spacing w:after="0"/>
      <w:ind w:left="0" w:hanging="1418"/>
      <w:rPr>
        <w:color w:val="000000"/>
        <w:sz w:val="20"/>
        <w:szCs w:val="20"/>
      </w:rPr>
    </w:pPr>
    <w:r>
      <w:rPr>
        <w:noProof/>
        <w:color w:val="000000"/>
        <w:sz w:val="20"/>
        <w:szCs w:val="20"/>
      </w:rPr>
      <mc:AlternateContent>
        <mc:Choice Requires="wps">
          <w:drawing>
            <wp:anchor distT="0" distB="0" distL="0" distR="0" simplePos="0" relativeHeight="251658240" behindDoc="0" locked="0" layoutInCell="1" allowOverlap="1" wp14:anchorId="36AD31B9" wp14:editId="0CA6A3F0">
              <wp:simplePos x="635" y="635"/>
              <wp:positionH relativeFrom="column">
                <wp:align>center</wp:align>
              </wp:positionH>
              <wp:positionV relativeFrom="paragraph">
                <wp:posOffset>635</wp:posOffset>
              </wp:positionV>
              <wp:extent cx="443865" cy="443865"/>
              <wp:effectExtent l="0" t="0" r="11430"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DA8C89" w14:textId="2E4E4B2C"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AD31B9"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FDA8C89" w14:textId="2E4E4B2C" w:rsidR="00911401" w:rsidRPr="00911401" w:rsidRDefault="00911401">
                    <w:pPr>
                      <w:rPr>
                        <w:rFonts w:ascii="Calibri" w:eastAsia="Calibri" w:hAnsi="Calibri" w:cs="Calibri"/>
                        <w:noProof/>
                        <w:color w:val="000000"/>
                        <w:sz w:val="20"/>
                        <w:szCs w:val="20"/>
                      </w:rPr>
                    </w:pPr>
                    <w:r w:rsidRPr="00911401">
                      <w:rPr>
                        <w:rFonts w:ascii="Calibri" w:eastAsia="Calibri" w:hAnsi="Calibri" w:cs="Calibri"/>
                        <w:noProof/>
                        <w:color w:val="000000"/>
                        <w:sz w:val="20"/>
                        <w:szCs w:val="20"/>
                      </w:rPr>
                      <w:t>OFFICIAL</w:t>
                    </w:r>
                  </w:p>
                </w:txbxContent>
              </v:textbox>
              <w10:wrap type="square"/>
            </v:shape>
          </w:pict>
        </mc:Fallback>
      </mc:AlternateContent>
    </w:r>
    <w:r w:rsidR="00467BD1">
      <w:rPr>
        <w:color w:val="000000"/>
        <w:sz w:val="20"/>
        <w:szCs w:val="20"/>
      </w:rPr>
      <w:t>Framework Ref: RM</w:t>
    </w:r>
    <w:r w:rsidR="00467BD1">
      <w:rPr>
        <w:color w:val="000000"/>
        <w:sz w:val="20"/>
        <w:szCs w:val="20"/>
      </w:rPr>
      <w:tab/>
      <w:t xml:space="preserve">                                           </w:t>
    </w:r>
  </w:p>
  <w:p w14:paraId="21EF67EF" w14:textId="77777777" w:rsidR="00E73297" w:rsidRDefault="00467BD1">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4E3D11E4" w14:textId="77777777" w:rsidR="00E73297" w:rsidRDefault="00467BD1">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467BD1" w:rsidRDefault="00467BD1">
      <w:pPr>
        <w:spacing w:after="0"/>
      </w:pPr>
      <w:r>
        <w:separator/>
      </w:r>
    </w:p>
  </w:footnote>
  <w:footnote w:type="continuationSeparator" w:id="0">
    <w:p w14:paraId="41C8F396" w14:textId="77777777" w:rsidR="00467BD1" w:rsidRDefault="00467B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B075" w14:textId="77777777" w:rsidR="00911401" w:rsidRDefault="00911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666B" w14:textId="77777777" w:rsidR="00E73297" w:rsidRDefault="00467BD1">
    <w:pPr>
      <w:tabs>
        <w:tab w:val="center" w:pos="4513"/>
        <w:tab w:val="right" w:pos="9026"/>
      </w:tabs>
      <w:spacing w:after="0"/>
      <w:ind w:left="0"/>
      <w:jc w:val="left"/>
      <w:rPr>
        <w:sz w:val="20"/>
        <w:szCs w:val="20"/>
      </w:rPr>
    </w:pPr>
    <w:r>
      <w:rPr>
        <w:b/>
        <w:sz w:val="20"/>
        <w:szCs w:val="20"/>
      </w:rPr>
      <w:t>Call-Off Schedule 8 (Business Continuity and Disaster Recovery)</w:t>
    </w:r>
  </w:p>
  <w:p w14:paraId="5AF7578D" w14:textId="77777777" w:rsidR="00E73297" w:rsidRDefault="00467BD1">
    <w:pPr>
      <w:tabs>
        <w:tab w:val="center" w:pos="4513"/>
        <w:tab w:val="right" w:pos="9026"/>
      </w:tabs>
      <w:spacing w:after="0"/>
      <w:ind w:left="0"/>
      <w:jc w:val="left"/>
      <w:rPr>
        <w:sz w:val="20"/>
        <w:szCs w:val="20"/>
      </w:rPr>
    </w:pPr>
    <w:r>
      <w:rPr>
        <w:sz w:val="20"/>
        <w:szCs w:val="20"/>
      </w:rPr>
      <w:t>Call-Off Ref:</w:t>
    </w:r>
  </w:p>
  <w:p w14:paraId="518D642B" w14:textId="77777777" w:rsidR="00E73297" w:rsidRDefault="00467BD1">
    <w:pPr>
      <w:tabs>
        <w:tab w:val="center" w:pos="4513"/>
        <w:tab w:val="right" w:pos="9026"/>
      </w:tabs>
      <w:spacing w:after="0"/>
      <w:ind w:left="0"/>
      <w:jc w:val="left"/>
      <w:rPr>
        <w:sz w:val="20"/>
        <w:szCs w:val="20"/>
      </w:rPr>
    </w:pPr>
    <w:r>
      <w:rPr>
        <w:sz w:val="20"/>
        <w:szCs w:val="20"/>
      </w:rPr>
      <w:t>Crown Copyright 2018</w:t>
    </w:r>
  </w:p>
  <w:p w14:paraId="5DAB6C7B" w14:textId="77777777" w:rsidR="00E73297" w:rsidRDefault="00E73297">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F9813" w14:textId="77777777" w:rsidR="00911401" w:rsidRDefault="00911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93FAF"/>
    <w:multiLevelType w:val="multilevel"/>
    <w:tmpl w:val="E092BE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48A55C4"/>
    <w:multiLevelType w:val="multilevel"/>
    <w:tmpl w:val="0FBE348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623317370">
    <w:abstractNumId w:val="1"/>
  </w:num>
  <w:num w:numId="2" w16cid:durableId="627666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297"/>
    <w:rsid w:val="00467BD1"/>
    <w:rsid w:val="008B676D"/>
    <w:rsid w:val="00911401"/>
    <w:rsid w:val="00E732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49B04"/>
  <w15:docId w15:val="{C754405B-5633-43F6-92DA-59C5F0FB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11401"/>
    <w:pPr>
      <w:tabs>
        <w:tab w:val="center" w:pos="4680"/>
        <w:tab w:val="right" w:pos="9360"/>
      </w:tabs>
      <w:spacing w:after="0"/>
    </w:pPr>
  </w:style>
  <w:style w:type="character" w:customStyle="1" w:styleId="HeaderChar">
    <w:name w:val="Header Char"/>
    <w:basedOn w:val="DefaultParagraphFont"/>
    <w:link w:val="Header"/>
    <w:uiPriority w:val="99"/>
    <w:rsid w:val="00911401"/>
  </w:style>
  <w:style w:type="paragraph" w:styleId="Footer">
    <w:name w:val="footer"/>
    <w:basedOn w:val="Normal"/>
    <w:link w:val="FooterChar"/>
    <w:uiPriority w:val="99"/>
    <w:unhideWhenUsed/>
    <w:rsid w:val="00911401"/>
    <w:pPr>
      <w:tabs>
        <w:tab w:val="center" w:pos="4680"/>
        <w:tab w:val="right" w:pos="9360"/>
      </w:tabs>
      <w:spacing w:after="0"/>
    </w:pPr>
  </w:style>
  <w:style w:type="character" w:customStyle="1" w:styleId="FooterChar">
    <w:name w:val="Footer Char"/>
    <w:basedOn w:val="DefaultParagraphFont"/>
    <w:link w:val="Footer"/>
    <w:uiPriority w:val="99"/>
    <w:rsid w:val="00911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7700-AAF7-4AB6-94E3-5D54526D2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1C5FC-A2C2-43EF-B92F-FAA6DB9F25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A50188-DEC6-4010-96F5-FE1615ADA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1997</Words>
  <Characters>11386</Characters>
  <Application>Microsoft Office Word</Application>
  <DocSecurity>0</DocSecurity>
  <Lines>94</Lines>
  <Paragraphs>26</Paragraphs>
  <ScaleCrop>false</ScaleCrop>
  <Company>Cabinet Office</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Moore, Catherine (Commercial)</cp:lastModifiedBy>
  <cp:revision>3</cp:revision>
  <dcterms:created xsi:type="dcterms:W3CDTF">2022-08-25T10:07:00Z</dcterms:created>
  <dcterms:modified xsi:type="dcterms:W3CDTF">2022-08-25T10:07:00Z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2022-08-25T10:07:46Z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73002040-5ea1-455f-9d22-199ea36fe595</vt:lpwstr>
  </property>
  <property fmtid="{D5CDD505-2E9C-101B-9397-08002B2CF9AE}" pid="12" name="MSIP_Label_f9af038e-07b4-4369-a678-c835687cb272_ContentBits">
    <vt:lpwstr>2</vt:lpwstr>
  </property>
</Properties>
</file>